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3B32D" w14:textId="6E61DF54" w:rsidR="00424F60" w:rsidRDefault="00C73AC0" w:rsidP="00424F60">
      <w:pP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503F697F" wp14:editId="1B959087">
            <wp:extent cx="5760085" cy="2878455"/>
            <wp:effectExtent l="0" t="0" r="0" b="0"/>
            <wp:docPr id="175393929" name="Picture 2" descr="A cartoon of a person walking with a b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93929" name="Picture 2" descr="A cartoon of a person walking with a b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63DF3" w14:textId="77777777" w:rsidR="00C73AC0" w:rsidRDefault="00C73AC0" w:rsidP="00424F60">
      <w:pP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</w:p>
    <w:p w14:paraId="66EAFF57" w14:textId="39AC65B2" w:rsidR="00424F60" w:rsidRPr="00424F60" w:rsidRDefault="00424F60" w:rsidP="00424F60">
      <w:pP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  <w:r w:rsidRPr="00424F6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>Inbank hire pur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 xml:space="preserve">chase </w:t>
      </w:r>
    </w:p>
    <w:p w14:paraId="17C3626B" w14:textId="77777777" w:rsidR="00195B07" w:rsidRDefault="00195B07" w:rsidP="00F05A8F">
      <w:pPr>
        <w:jc w:val="center"/>
        <w:rPr>
          <w:rFonts w:ascii="Inter" w:hAnsi="Inter" w:cs="Arial"/>
          <w:color w:val="21093A"/>
          <w:kern w:val="0"/>
          <w:sz w:val="24"/>
          <w:szCs w:val="24"/>
          <w:lang w:val="en-GB"/>
        </w:rPr>
      </w:pPr>
    </w:p>
    <w:p w14:paraId="1AB4197D" w14:textId="6A5F7274" w:rsidR="00195B07" w:rsidRPr="00195B07" w:rsidRDefault="00195B07" w:rsidP="00195B07">
      <w:pPr>
        <w:rPr>
          <w:rFonts w:ascii="Inter" w:hAnsi="Inter" w:cs="Arial"/>
          <w:color w:val="21093A"/>
          <w:kern w:val="0"/>
          <w:sz w:val="24"/>
          <w:szCs w:val="24"/>
          <w:lang w:val="en-GB"/>
        </w:rPr>
      </w:pPr>
      <w:r w:rsidRPr="00195B07">
        <w:rPr>
          <w:rFonts w:ascii="Inter" w:hAnsi="Inter" w:cs="Arial"/>
          <w:color w:val="21093A"/>
          <w:kern w:val="0"/>
          <w:sz w:val="24"/>
          <w:szCs w:val="24"/>
          <w:lang w:val="en-GB"/>
        </w:rPr>
        <w:t xml:space="preserve">Inbank hire purchase is a flexible payment solution which gives you the ability to pay for </w:t>
      </w:r>
      <w:r w:rsidR="00AC6B88">
        <w:rPr>
          <w:rFonts w:ascii="Inter" w:hAnsi="Inter" w:cs="Arial"/>
          <w:color w:val="21093A"/>
          <w:kern w:val="0"/>
          <w:sz w:val="24"/>
          <w:szCs w:val="24"/>
          <w:lang w:val="en-GB"/>
        </w:rPr>
        <w:t xml:space="preserve">the </w:t>
      </w:r>
      <w:r w:rsidRPr="00195B07">
        <w:rPr>
          <w:rFonts w:ascii="Inter" w:hAnsi="Inter" w:cs="Arial"/>
          <w:color w:val="21093A"/>
          <w:kern w:val="0"/>
          <w:sz w:val="24"/>
          <w:szCs w:val="24"/>
          <w:lang w:val="en-GB"/>
        </w:rPr>
        <w:t xml:space="preserve">services in instalments. Inbank hire purchase allows you to split a large one-time expense into small monthly payments. Spread the purchase sum over up to </w:t>
      </w:r>
      <w:r w:rsidR="00C73AC0">
        <w:rPr>
          <w:rFonts w:ascii="Inter" w:hAnsi="Inter" w:cs="Arial"/>
          <w:color w:val="21093A"/>
          <w:kern w:val="0"/>
          <w:sz w:val="24"/>
          <w:szCs w:val="24"/>
          <w:lang w:val="en-GB"/>
        </w:rPr>
        <w:t>6</w:t>
      </w:r>
      <w:r w:rsidRPr="00195B07">
        <w:rPr>
          <w:rFonts w:ascii="Inter" w:hAnsi="Inter" w:cs="Arial"/>
          <w:color w:val="21093A"/>
          <w:kern w:val="0"/>
          <w:sz w:val="24"/>
          <w:szCs w:val="24"/>
          <w:lang w:val="en-GB"/>
        </w:rPr>
        <w:t xml:space="preserve"> years. The first payment is due only a month later. </w:t>
      </w:r>
    </w:p>
    <w:p w14:paraId="0A429F8A" w14:textId="77777777" w:rsidR="00195B07" w:rsidRDefault="00195B07" w:rsidP="00195B07">
      <w:pPr>
        <w:rPr>
          <w:b/>
          <w:bCs/>
          <w:lang w:val="en-GB"/>
        </w:rPr>
      </w:pPr>
    </w:p>
    <w:p w14:paraId="38EF1D6B" w14:textId="77777777" w:rsidR="00195B07" w:rsidRPr="00195B07" w:rsidRDefault="00195B07" w:rsidP="00195B07">
      <w:pP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  <w:r w:rsidRPr="00195B07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>Advantages:</w:t>
      </w:r>
    </w:p>
    <w:p w14:paraId="484852C2" w14:textId="46C8FB19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Flexible solution for large</w:t>
      </w:r>
      <w:r w:rsidR="00C73AC0">
        <w:rPr>
          <w:rFonts w:ascii="Inter" w:hAnsi="Inter" w:cs="Arial"/>
          <w:color w:val="21093A"/>
          <w:kern w:val="0"/>
          <w:lang w:val="en-GB"/>
        </w:rPr>
        <w:t>r</w:t>
      </w:r>
      <w:r w:rsidRPr="00195B07">
        <w:rPr>
          <w:rFonts w:ascii="Inter" w:hAnsi="Inter" w:cs="Arial"/>
          <w:color w:val="21093A"/>
          <w:kern w:val="0"/>
          <w:lang w:val="en-GB"/>
        </w:rPr>
        <w:t xml:space="preserve"> expenses</w:t>
      </w:r>
    </w:p>
    <w:p w14:paraId="199BC1DB" w14:textId="217BD38E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You choose the amount</w:t>
      </w:r>
    </w:p>
    <w:p w14:paraId="0768BF2F" w14:textId="266FAD61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 xml:space="preserve">You choose period </w:t>
      </w:r>
    </w:p>
    <w:p w14:paraId="587B32A2" w14:textId="77777777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You choose the payment date</w:t>
      </w:r>
    </w:p>
    <w:p w14:paraId="09525269" w14:textId="77777777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Response to an application within a minute</w:t>
      </w:r>
    </w:p>
    <w:p w14:paraId="0B40674F" w14:textId="77777777" w:rsidR="00195B07" w:rsidRDefault="00195B07" w:rsidP="00195B07">
      <w:pPr>
        <w:rPr>
          <w:rFonts w:ascii="Inter" w:hAnsi="Inter" w:cs="Open Sans"/>
          <w:b/>
          <w:bCs/>
          <w:color w:val="21093A"/>
          <w:sz w:val="36"/>
          <w:szCs w:val="36"/>
        </w:rPr>
      </w:pPr>
    </w:p>
    <w:p w14:paraId="482C9C17" w14:textId="77777777" w:rsidR="00195B07" w:rsidRPr="000E207F" w:rsidRDefault="00195B07" w:rsidP="00195B07">
      <w:pPr>
        <w:rPr>
          <w:rFonts w:ascii="Inter" w:eastAsia="Times New Roman" w:hAnsi="Inter" w:cs="Open Sans"/>
          <w:b/>
          <w:bCs/>
          <w:color w:val="21093A"/>
          <w:kern w:val="0"/>
          <w:sz w:val="24"/>
          <w:szCs w:val="24"/>
          <w:lang w:eastAsia="et-EE"/>
          <w14:ligatures w14:val="none"/>
        </w:rPr>
      </w:pPr>
      <w:r w:rsidRPr="000E207F">
        <w:rPr>
          <w:rFonts w:ascii="Inter" w:eastAsia="Times New Roman" w:hAnsi="Inter" w:cs="Open Sans"/>
          <w:b/>
          <w:bCs/>
          <w:color w:val="21093A"/>
          <w:kern w:val="0"/>
          <w:sz w:val="24"/>
          <w:szCs w:val="24"/>
          <w:lang w:eastAsia="et-EE"/>
          <w14:ligatures w14:val="none"/>
        </w:rPr>
        <w:t>Financing terms:</w:t>
      </w:r>
    </w:p>
    <w:p w14:paraId="726CF44C" w14:textId="28D04FE2" w:rsidR="00195B07" w:rsidRPr="00195B07" w:rsidRDefault="00C73AC0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>
        <w:rPr>
          <w:rFonts w:ascii="Inter" w:hAnsi="Inter" w:cs="Arial"/>
          <w:color w:val="21093A"/>
          <w:kern w:val="0"/>
          <w:lang w:val="en-GB"/>
        </w:rPr>
        <w:t>Amount</w:t>
      </w:r>
      <w:r w:rsidR="00195B07" w:rsidRPr="00195B07">
        <w:rPr>
          <w:rFonts w:ascii="Inter" w:hAnsi="Inter" w:cs="Arial"/>
          <w:color w:val="21093A"/>
          <w:kern w:val="0"/>
          <w:lang w:val="en-GB"/>
        </w:rPr>
        <w:t xml:space="preserve"> 100 – 10 000 €</w:t>
      </w:r>
    </w:p>
    <w:p w14:paraId="58E4EE8F" w14:textId="77777777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Period 3 – 72 months</w:t>
      </w:r>
    </w:p>
    <w:p w14:paraId="61A0D3F7" w14:textId="77777777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Down payment 0 €</w:t>
      </w:r>
    </w:p>
    <w:p w14:paraId="2329947E" w14:textId="28C10D2C" w:rsidR="00C73AC0" w:rsidRPr="00195B07" w:rsidRDefault="00C73AC0" w:rsidP="00C73AC0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 xml:space="preserve">Interest rate </w:t>
      </w:r>
      <w:r>
        <w:rPr>
          <w:rFonts w:ascii="Inter" w:hAnsi="Inter" w:cs="Arial"/>
          <w:color w:val="21093A"/>
          <w:kern w:val="0"/>
          <w:lang w:val="en-GB"/>
        </w:rPr>
        <w:t>8,9%</w:t>
      </w:r>
    </w:p>
    <w:p w14:paraId="71F099C5" w14:textId="69D7A0CF" w:rsidR="00195B07" w:rsidRPr="00195B07" w:rsidRDefault="00195B07" w:rsidP="00195B07">
      <w:pPr>
        <w:pStyle w:val="ListParagraph"/>
        <w:numPr>
          <w:ilvl w:val="0"/>
          <w:numId w:val="2"/>
        </w:numPr>
        <w:jc w:val="both"/>
        <w:rPr>
          <w:rFonts w:ascii="Inter" w:hAnsi="Inter" w:cs="Arial"/>
          <w:color w:val="21093A"/>
          <w:kern w:val="0"/>
          <w:lang w:val="en-GB"/>
        </w:rPr>
      </w:pPr>
      <w:r w:rsidRPr="00195B07">
        <w:rPr>
          <w:rFonts w:ascii="Inter" w:hAnsi="Inter" w:cs="Arial"/>
          <w:color w:val="21093A"/>
          <w:kern w:val="0"/>
          <w:lang w:val="en-GB"/>
        </w:rPr>
        <w:t>Contract fee 1</w:t>
      </w:r>
      <w:r w:rsidR="00C73AC0">
        <w:rPr>
          <w:rFonts w:ascii="Inter" w:hAnsi="Inter" w:cs="Arial"/>
          <w:color w:val="21093A"/>
          <w:kern w:val="0"/>
          <w:lang w:val="en-GB"/>
        </w:rPr>
        <w:t>5</w:t>
      </w:r>
      <w:r w:rsidRPr="00195B07">
        <w:rPr>
          <w:rFonts w:ascii="Inter" w:hAnsi="Inter" w:cs="Arial"/>
          <w:color w:val="21093A"/>
          <w:kern w:val="0"/>
          <w:lang w:val="en-GB"/>
        </w:rPr>
        <w:t xml:space="preserve"> €</w:t>
      </w:r>
    </w:p>
    <w:p w14:paraId="0D50F3DE" w14:textId="77777777" w:rsidR="00195B07" w:rsidRDefault="00195B07" w:rsidP="00195B07">
      <w:pPr>
        <w:jc w:val="center"/>
        <w:rPr>
          <w:rFonts w:ascii="Inter" w:hAnsi="Inter" w:cs="Open Sans"/>
          <w:b/>
          <w:bCs/>
          <w:color w:val="21093A"/>
          <w:sz w:val="36"/>
          <w:szCs w:val="36"/>
        </w:rPr>
      </w:pPr>
    </w:p>
    <w:p w14:paraId="345DE565" w14:textId="55215544" w:rsidR="009B38DD" w:rsidRDefault="00B5233B" w:rsidP="00C73AC0">
      <w:pP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  <w:r w:rsidRPr="00424F6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 xml:space="preserve">Applying for a hire purchase is </w:t>
      </w:r>
      <w:r w:rsidR="00C73AC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>simple</w:t>
      </w:r>
    </w:p>
    <w:p w14:paraId="3549FD2F" w14:textId="77777777" w:rsidR="00424F60" w:rsidRPr="00424F60" w:rsidRDefault="00424F60" w:rsidP="009B38DD">
      <w:pPr>
        <w:jc w:val="center"/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</w:p>
    <w:p w14:paraId="4C82C0A7" w14:textId="396C8430" w:rsidR="00E13DAA" w:rsidRPr="00E13DAA" w:rsidRDefault="00424F60" w:rsidP="00AC6B88">
      <w:pPr>
        <w:jc w:val="center"/>
        <w:rPr>
          <w:rFonts w:ascii="Inter" w:hAnsi="Inter" w:cs="Open Sans"/>
          <w:b/>
          <w:bCs/>
          <w:color w:val="21093A"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4986F026" wp14:editId="3F44C8D6">
            <wp:extent cx="5760085" cy="1685925"/>
            <wp:effectExtent l="0" t="0" r="0" b="9525"/>
            <wp:docPr id="461337216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37216" name="Picture 1" descr="A close-up of a sign&#10;&#10;Description automatically generated"/>
                    <pic:cNvPicPr/>
                  </pic:nvPicPr>
                  <pic:blipFill rotWithShape="1">
                    <a:blip r:embed="rId6"/>
                    <a:srcRect t="16488" b="17187"/>
                    <a:stretch/>
                  </pic:blipFill>
                  <pic:spPr bwMode="auto">
                    <a:xfrm>
                      <a:off x="0" y="0"/>
                      <a:ext cx="5760085" cy="1685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EEF8C6" w14:textId="01C2E30F" w:rsidR="00EE6113" w:rsidRPr="00F876FF" w:rsidRDefault="00C73AC0" w:rsidP="00F876FF">
      <w:pPr>
        <w:jc w:val="both"/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</w:pPr>
      <w:r w:rsidRPr="00C73AC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 xml:space="preserve">Response to </w:t>
      </w:r>
      <w:r w:rsidRPr="00C73AC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>your</w:t>
      </w:r>
      <w:r w:rsidRPr="00C73AC0"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 xml:space="preserve"> application within a minute</w:t>
      </w:r>
      <w:r>
        <w:rPr>
          <w:rFonts w:ascii="Inter" w:hAnsi="Inter" w:cs="Arial"/>
          <w:b/>
          <w:bCs/>
          <w:color w:val="21093A"/>
          <w:kern w:val="0"/>
          <w:sz w:val="24"/>
          <w:szCs w:val="24"/>
          <w:lang w:val="en-GB"/>
        </w:rPr>
        <w:t>.</w:t>
      </w:r>
    </w:p>
    <w:p w14:paraId="65F57F0F" w14:textId="77777777" w:rsidR="0085036C" w:rsidRDefault="0085036C" w:rsidP="0085036C">
      <w:pPr>
        <w:pStyle w:val="Default"/>
        <w:rPr>
          <w:rFonts w:ascii="Inter" w:eastAsia="Times New Roman" w:hAnsi="Inter"/>
          <w:color w:val="21093A"/>
          <w:lang w:eastAsia="et-EE"/>
          <w14:ligatures w14:val="none"/>
        </w:rPr>
      </w:pPr>
    </w:p>
    <w:p w14:paraId="450FD645" w14:textId="5DB4F25E" w:rsidR="00EA2DDB" w:rsidRDefault="00EA2DDB" w:rsidP="00EA2DDB">
      <w:pPr>
        <w:jc w:val="both"/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</w:pP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The interest rate of the 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Inbank hire purchase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is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26,4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% per year under the following example conditions: 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purchase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amount 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0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00 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€, contract period 24 months, interest rate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8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.9% 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from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the purchase amount, down payment 0%,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contract fee 15 €, 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administration fee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2,9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€ per month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, monthly installment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52,7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€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, total credit cost 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1264,78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€</w:t>
      </w:r>
      <w:r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.</w:t>
      </w:r>
      <w:r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The financial service is provided by AS Inbank Finance</w:t>
      </w:r>
      <w:r w:rsidR="00770DD2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.</w:t>
      </w:r>
      <w:r w:rsidR="00195B07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</w:t>
      </w:r>
      <w:r w:rsidR="00195B07"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Before signing the contract, we recommend that you familiarize yourself with the terms and conditions of the financial service</w:t>
      </w:r>
      <w:r w:rsidR="00F876FF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and </w:t>
      </w:r>
      <w:r w:rsidR="00195B07" w:rsidRPr="00EA2DDB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consult with a specialist</w:t>
      </w:r>
      <w:r w:rsidR="00F876FF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 xml:space="preserve"> if needed</w:t>
      </w:r>
      <w:r w:rsidR="00C73AC0">
        <w:rPr>
          <w:rFonts w:ascii="Inter" w:eastAsia="Times New Roman" w:hAnsi="Inter" w:cs="Open Sans"/>
          <w:color w:val="21093A"/>
          <w:kern w:val="0"/>
          <w:sz w:val="16"/>
          <w:szCs w:val="16"/>
          <w:lang w:eastAsia="et-EE"/>
          <w14:ligatures w14:val="none"/>
        </w:rPr>
        <w:t>.</w:t>
      </w:r>
    </w:p>
    <w:p w14:paraId="1E8B167B" w14:textId="77777777" w:rsidR="00C73AC0" w:rsidRPr="00E13DAA" w:rsidRDefault="00C73AC0" w:rsidP="00EA2DDB">
      <w:pPr>
        <w:jc w:val="both"/>
        <w:rPr>
          <w:rFonts w:ascii="Inter" w:eastAsia="Times New Roman" w:hAnsi="Inter"/>
          <w:color w:val="21093A"/>
          <w:lang w:eastAsia="et-EE"/>
          <w14:ligatures w14:val="none"/>
        </w:rPr>
      </w:pPr>
    </w:p>
    <w:sectPr w:rsidR="00C73AC0" w:rsidRPr="00E13DAA" w:rsidSect="000E0B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Inter">
    <w:panose1 w:val="02000503000000020004"/>
    <w:charset w:val="BA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F22AB"/>
    <w:multiLevelType w:val="hybridMultilevel"/>
    <w:tmpl w:val="66241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3220C"/>
    <w:multiLevelType w:val="hybridMultilevel"/>
    <w:tmpl w:val="D7BCD7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52D9A"/>
    <w:multiLevelType w:val="hybridMultilevel"/>
    <w:tmpl w:val="4AB45F42"/>
    <w:lvl w:ilvl="0" w:tplc="C418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D6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02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D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C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A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E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0C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59071288">
    <w:abstractNumId w:val="0"/>
  </w:num>
  <w:num w:numId="2" w16cid:durableId="937060384">
    <w:abstractNumId w:val="1"/>
  </w:num>
  <w:num w:numId="3" w16cid:durableId="1449933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646"/>
    <w:rsid w:val="000443BF"/>
    <w:rsid w:val="000E0BDE"/>
    <w:rsid w:val="000E207F"/>
    <w:rsid w:val="00195B07"/>
    <w:rsid w:val="003F029A"/>
    <w:rsid w:val="00424F60"/>
    <w:rsid w:val="0050552C"/>
    <w:rsid w:val="005D2B7D"/>
    <w:rsid w:val="00770DD2"/>
    <w:rsid w:val="0085036C"/>
    <w:rsid w:val="00873646"/>
    <w:rsid w:val="00963312"/>
    <w:rsid w:val="009B38DD"/>
    <w:rsid w:val="009F55FC"/>
    <w:rsid w:val="00AC6B88"/>
    <w:rsid w:val="00B5233B"/>
    <w:rsid w:val="00C73AC0"/>
    <w:rsid w:val="00CB6DA6"/>
    <w:rsid w:val="00E13DAA"/>
    <w:rsid w:val="00EA2DDB"/>
    <w:rsid w:val="00EE6113"/>
    <w:rsid w:val="00F05A8F"/>
    <w:rsid w:val="00F337B2"/>
    <w:rsid w:val="00F8111F"/>
    <w:rsid w:val="00F876FF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1F9A"/>
  <w15:chartTrackingRefBased/>
  <w15:docId w15:val="{498D39E4-C94C-46D5-9091-0E147B71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73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646"/>
    <w:rPr>
      <w:rFonts w:ascii="Times New Roman" w:eastAsia="Times New Roman" w:hAnsi="Times New Roman" w:cs="Times New Roman"/>
      <w:b/>
      <w:bCs/>
      <w:kern w:val="0"/>
      <w:sz w:val="36"/>
      <w:szCs w:val="36"/>
      <w:lang w:eastAsia="et-EE"/>
      <w14:ligatures w14:val="none"/>
    </w:rPr>
  </w:style>
  <w:style w:type="paragraph" w:customStyle="1" w:styleId="lead">
    <w:name w:val="lead"/>
    <w:basedOn w:val="Normal"/>
    <w:rsid w:val="0087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table" w:styleId="TableGrid">
    <w:name w:val="Table Grid"/>
    <w:basedOn w:val="TableNormal"/>
    <w:uiPriority w:val="39"/>
    <w:rsid w:val="009B3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036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4F60"/>
    <w:pPr>
      <w:spacing w:after="0" w:line="240" w:lineRule="auto"/>
      <w:ind w:left="720"/>
      <w:contextualSpacing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424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Amberg</dc:creator>
  <cp:keywords/>
  <dc:description/>
  <cp:lastModifiedBy>Kristi Amberg</cp:lastModifiedBy>
  <cp:revision>3</cp:revision>
  <dcterms:created xsi:type="dcterms:W3CDTF">2023-12-04T14:48:00Z</dcterms:created>
  <dcterms:modified xsi:type="dcterms:W3CDTF">2024-03-11T14:51:00Z</dcterms:modified>
</cp:coreProperties>
</file>